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93" w:rsidRDefault="009432AA" w:rsidP="009432AA">
      <w:pPr>
        <w:jc w:val="center"/>
        <w:rPr>
          <w:b/>
          <w:u w:val="single"/>
        </w:rPr>
      </w:pPr>
      <w:r>
        <w:rPr>
          <w:b/>
          <w:u w:val="single"/>
        </w:rPr>
        <w:t>Milwaukee Continuum of Care FY 2021 CoC</w:t>
      </w:r>
      <w:r w:rsidRPr="00924B00">
        <w:rPr>
          <w:b/>
          <w:u w:val="single"/>
        </w:rPr>
        <w:t xml:space="preserve"> Bonus (</w:t>
      </w:r>
      <w:r>
        <w:rPr>
          <w:b/>
          <w:u w:val="single"/>
        </w:rPr>
        <w:t>PSH, RRH</w:t>
      </w:r>
      <w:r w:rsidRPr="00924B00">
        <w:rPr>
          <w:b/>
          <w:u w:val="single"/>
        </w:rPr>
        <w:t>)</w:t>
      </w:r>
      <w:r>
        <w:rPr>
          <w:b/>
          <w:u w:val="single"/>
        </w:rPr>
        <w:t xml:space="preserve"> </w:t>
      </w:r>
      <w:r>
        <w:rPr>
          <w:b/>
          <w:color w:val="C00000"/>
          <w:u w:val="single"/>
        </w:rPr>
        <w:br/>
      </w:r>
      <w:r>
        <w:rPr>
          <w:b/>
          <w:u w:val="single"/>
        </w:rPr>
        <w:t>New Project Scoring S</w:t>
      </w:r>
      <w:r w:rsidRPr="00335593">
        <w:rPr>
          <w:b/>
          <w:u w:val="single"/>
        </w:rPr>
        <w:t>ummary</w:t>
      </w:r>
      <w:bookmarkStart w:id="0" w:name="_GoBack"/>
      <w:bookmarkEnd w:id="0"/>
    </w:p>
    <w:p w:rsidR="009432AA" w:rsidRPr="009432AA" w:rsidRDefault="009432AA" w:rsidP="009432AA">
      <w:pPr>
        <w:rPr>
          <w:b/>
        </w:rPr>
      </w:pPr>
      <w:r w:rsidRPr="009432AA">
        <w:rPr>
          <w:b/>
        </w:rPr>
        <w:t>All new project applications are el</w:t>
      </w:r>
      <w:r w:rsidR="00247E1C">
        <w:rPr>
          <w:b/>
        </w:rPr>
        <w:t>igible to receive bonus points</w:t>
      </w:r>
    </w:p>
    <w:p w:rsidR="009432AA" w:rsidRPr="009432AA" w:rsidRDefault="009432AA" w:rsidP="009432AA">
      <w:pPr>
        <w:numPr>
          <w:ilvl w:val="0"/>
          <w:numId w:val="1"/>
        </w:numPr>
        <w:contextualSpacing/>
        <w:rPr>
          <w:b/>
        </w:rPr>
      </w:pPr>
      <w:r w:rsidRPr="009432AA">
        <w:rPr>
          <w:b/>
        </w:rPr>
        <w:t>10 possible bonus points awarded for projects applying that are leveraging other housing subsidies besides CoC and ESG</w:t>
      </w:r>
    </w:p>
    <w:p w:rsidR="009432AA" w:rsidRDefault="009432AA" w:rsidP="009432AA">
      <w:pPr>
        <w:numPr>
          <w:ilvl w:val="0"/>
          <w:numId w:val="1"/>
        </w:numPr>
        <w:contextualSpacing/>
        <w:rPr>
          <w:b/>
        </w:rPr>
      </w:pPr>
      <w:r w:rsidRPr="009432AA">
        <w:rPr>
          <w:b/>
        </w:rPr>
        <w:t>10 possible bonus points awarded for applying for projects applying that are leveraging health care partnerships</w:t>
      </w:r>
    </w:p>
    <w:p w:rsidR="00262D2C" w:rsidRPr="00262D2C" w:rsidRDefault="0004531C" w:rsidP="00262D2C">
      <w:pPr>
        <w:numPr>
          <w:ilvl w:val="0"/>
          <w:numId w:val="1"/>
        </w:numPr>
        <w:contextualSpacing/>
        <w:rPr>
          <w:b/>
        </w:rPr>
      </w:pPr>
      <w:r w:rsidRPr="009A3A39">
        <w:rPr>
          <w:b/>
        </w:rPr>
        <w:t>CoC recipients that are applying for a second+ year renewal in FY 2020 with at least 1 FY 2020 System Performance Measure outcome in the top</w:t>
      </w:r>
      <w:r w:rsidR="00262D2C" w:rsidRPr="00262D2C">
        <w:rPr>
          <w:b/>
        </w:rPr>
        <w:t xml:space="preserve"> 30</w:t>
      </w:r>
      <w:r w:rsidRPr="009A3A39">
        <w:rPr>
          <w:b/>
        </w:rPr>
        <w:t xml:space="preserve">% of all renewal projects’ outcomes </w:t>
      </w:r>
      <w:r w:rsidR="00262D2C" w:rsidRPr="00262D2C">
        <w:rPr>
          <w:b/>
        </w:rPr>
        <w:t xml:space="preserve">ranked highest to lowest </w:t>
      </w:r>
      <w:r w:rsidRPr="009A3A39">
        <w:rPr>
          <w:b/>
        </w:rPr>
        <w:t>for that criteria will automatically receive</w:t>
      </w:r>
      <w:r w:rsidR="00262D2C">
        <w:rPr>
          <w:b/>
        </w:rPr>
        <w:t xml:space="preserve"> </w:t>
      </w:r>
      <w:r w:rsidR="00262D2C" w:rsidRPr="009B552A">
        <w:rPr>
          <w:b/>
          <w:u w:val="single"/>
        </w:rPr>
        <w:t>20</w:t>
      </w:r>
      <w:r w:rsidRPr="009A3A39">
        <w:rPr>
          <w:b/>
          <w:u w:val="single"/>
        </w:rPr>
        <w:t xml:space="preserve"> bonus points</w:t>
      </w:r>
      <w:r w:rsidRPr="009A3A39">
        <w:rPr>
          <w:b/>
        </w:rPr>
        <w:t xml:space="preserve"> on their new project application score</w:t>
      </w:r>
    </w:p>
    <w:p w:rsidR="009432AA" w:rsidRPr="009432AA" w:rsidRDefault="00262D2C" w:rsidP="00262D2C">
      <w:pPr>
        <w:numPr>
          <w:ilvl w:val="0"/>
          <w:numId w:val="1"/>
        </w:numPr>
        <w:contextualSpacing/>
        <w:rPr>
          <w:b/>
        </w:rPr>
      </w:pPr>
      <w:r w:rsidRPr="00262D2C">
        <w:rPr>
          <w:b/>
        </w:rPr>
        <w:t>Applicants using HMIS that are not CoC funded that are able to provide attachment reports from 10/1/2019 – 9/30/2020 that document 1 of the following: number of permanent housing destination exits, increase in income (total income, or earned income) or returns to homelessness will receive</w:t>
      </w:r>
      <w:r>
        <w:rPr>
          <w:b/>
        </w:rPr>
        <w:t xml:space="preserve"> </w:t>
      </w:r>
      <w:r w:rsidRPr="009B552A">
        <w:rPr>
          <w:b/>
          <w:u w:val="single"/>
        </w:rPr>
        <w:t>20 bonus points</w:t>
      </w:r>
      <w:r w:rsidRPr="00262D2C">
        <w:rPr>
          <w:b/>
        </w:rPr>
        <w:t xml:space="preserve"> on their new project application score if their outcome is higher than 50% of all </w:t>
      </w:r>
      <w:r>
        <w:rPr>
          <w:b/>
        </w:rPr>
        <w:t xml:space="preserve">CoC </w:t>
      </w:r>
      <w:r w:rsidRPr="00262D2C">
        <w:rPr>
          <w:b/>
        </w:rPr>
        <w:t>renewal projects’ outcomes ranked highest to lowest for that criteria</w:t>
      </w:r>
    </w:p>
    <w:p w:rsidR="009432AA" w:rsidRDefault="009432AA" w:rsidP="009432AA">
      <w:pPr>
        <w:rPr>
          <w:b/>
        </w:rPr>
      </w:pPr>
      <w:r>
        <w:br/>
      </w:r>
      <w:r w:rsidRPr="009432AA">
        <w:rPr>
          <w:b/>
        </w:rPr>
        <w:t>__/100</w:t>
      </w:r>
      <w:r>
        <w:rPr>
          <w:b/>
        </w:rPr>
        <w:t xml:space="preserve"> total</w:t>
      </w:r>
      <w:r w:rsidRPr="009432AA">
        <w:rPr>
          <w:b/>
        </w:rPr>
        <w:t xml:space="preserve"> points</w:t>
      </w:r>
    </w:p>
    <w:p w:rsidR="009432AA" w:rsidRDefault="00FE78E3" w:rsidP="009432AA">
      <w:pPr>
        <w:rPr>
          <w:b/>
        </w:rPr>
      </w:pPr>
      <w:r>
        <w:rPr>
          <w:b/>
        </w:rPr>
        <w:pict>
          <v:rect id="_x0000_i1025" style="width:0;height:1.5pt" o:hralign="center" o:hrstd="t" o:hr="t" fillcolor="#a0a0a0" stroked="f"/>
        </w:pict>
      </w:r>
    </w:p>
    <w:p w:rsidR="009432AA" w:rsidRPr="00795383" w:rsidRDefault="009432AA" w:rsidP="00CD1953">
      <w:pPr>
        <w:pStyle w:val="ListParagraph"/>
        <w:numPr>
          <w:ilvl w:val="0"/>
          <w:numId w:val="2"/>
        </w:numPr>
        <w:rPr>
          <w:b/>
          <w:u w:val="single"/>
        </w:rPr>
      </w:pPr>
      <w:r>
        <w:rPr>
          <w:b/>
        </w:rPr>
        <w:t xml:space="preserve">5 possible points awarded for project proposals indicating that they will serve populations with multiple vulnerability </w:t>
      </w:r>
      <w:r w:rsidRPr="009B552A">
        <w:rPr>
          <w:b/>
        </w:rPr>
        <w:t xml:space="preserve">factors </w:t>
      </w:r>
    </w:p>
    <w:p w:rsidR="00251BE1" w:rsidRPr="00A910C3" w:rsidRDefault="00503380" w:rsidP="00251BE1">
      <w:pPr>
        <w:pStyle w:val="ListParagraph"/>
        <w:numPr>
          <w:ilvl w:val="0"/>
          <w:numId w:val="2"/>
        </w:numPr>
        <w:rPr>
          <w:b/>
          <w:u w:val="single"/>
        </w:rPr>
      </w:pPr>
      <w:r>
        <w:rPr>
          <w:b/>
        </w:rPr>
        <w:t>15</w:t>
      </w:r>
      <w:r w:rsidR="00795383">
        <w:rPr>
          <w:b/>
        </w:rPr>
        <w:t xml:space="preserve"> possible points awarded for project proposals providing project scope explanation </w:t>
      </w:r>
      <w:r w:rsidR="00251BE1">
        <w:rPr>
          <w:b/>
        </w:rPr>
        <w:t>that clearly illustrates the project will rapidly exit c</w:t>
      </w:r>
      <w:r w:rsidR="00A910C3">
        <w:rPr>
          <w:b/>
        </w:rPr>
        <w:t xml:space="preserve">lients to permanent housing, </w:t>
      </w:r>
      <w:r w:rsidR="00251BE1">
        <w:rPr>
          <w:b/>
        </w:rPr>
        <w:t>assist project participants in maintaining ongoing housing stability</w:t>
      </w:r>
      <w:r w:rsidR="00A910C3">
        <w:rPr>
          <w:b/>
        </w:rPr>
        <w:t>, and meet project participants’ supportive service needs</w:t>
      </w:r>
    </w:p>
    <w:p w:rsidR="00A910C3" w:rsidRPr="00A910C3" w:rsidRDefault="00A910C3" w:rsidP="00A910C3">
      <w:pPr>
        <w:pStyle w:val="ListParagraph"/>
        <w:numPr>
          <w:ilvl w:val="0"/>
          <w:numId w:val="2"/>
        </w:numPr>
        <w:rPr>
          <w:b/>
        </w:rPr>
      </w:pPr>
      <w:r w:rsidRPr="00A910C3">
        <w:rPr>
          <w:b/>
        </w:rPr>
        <w:t>5 possible points awarded for project applicant’s engagement in the CoC including collaboration with CoC members (2 points for active CoC membership prior to FY 2021 NOFO Competition Announcement release, 1 point for engagement in CoC committees, 2 points for description of collaboration with other CoC members to offer services or address community needs)</w:t>
      </w:r>
    </w:p>
    <w:p w:rsidR="00A910C3" w:rsidRPr="00A910C3" w:rsidRDefault="00A910C3" w:rsidP="00A910C3">
      <w:pPr>
        <w:pStyle w:val="ListParagraph"/>
        <w:numPr>
          <w:ilvl w:val="0"/>
          <w:numId w:val="2"/>
        </w:numPr>
        <w:rPr>
          <w:b/>
        </w:rPr>
      </w:pPr>
      <w:r w:rsidRPr="00A910C3">
        <w:rPr>
          <w:b/>
        </w:rPr>
        <w:t xml:space="preserve">5 possible points for description of process project applicant will carry out to coordinate and integrate with other mainstream health, social services, and employment programs for which program participants may be eligible.  </w:t>
      </w:r>
    </w:p>
    <w:p w:rsidR="00A910C3" w:rsidRPr="00A910C3" w:rsidRDefault="00A910C3" w:rsidP="00251BE1">
      <w:pPr>
        <w:pStyle w:val="ListParagraph"/>
        <w:numPr>
          <w:ilvl w:val="0"/>
          <w:numId w:val="2"/>
        </w:numPr>
        <w:rPr>
          <w:b/>
          <w:u w:val="single"/>
        </w:rPr>
      </w:pPr>
      <w:r>
        <w:rPr>
          <w:b/>
        </w:rPr>
        <w:t>10 possible points awarded for project proposals providing a clear plan for assisting project participants with obtaining permanent housing (support of housing search process) (5 points) and maintaining permanent housing (offering of services with goal to keep project participants housed and prepare project participants for permanent housing after project discharge) (5 points)</w:t>
      </w:r>
    </w:p>
    <w:p w:rsidR="00EE3DF2" w:rsidRPr="009B552A" w:rsidRDefault="00A910C3" w:rsidP="00262D2C">
      <w:pPr>
        <w:pStyle w:val="ListParagraph"/>
        <w:numPr>
          <w:ilvl w:val="0"/>
          <w:numId w:val="2"/>
        </w:numPr>
        <w:rPr>
          <w:b/>
          <w:u w:val="single"/>
        </w:rPr>
      </w:pPr>
      <w:r>
        <w:rPr>
          <w:b/>
        </w:rPr>
        <w:t>5 possible points for applicants’ description of how they will provide trauma-infor</w:t>
      </w:r>
      <w:r w:rsidR="00EE3DF2">
        <w:rPr>
          <w:b/>
        </w:rPr>
        <w:t>med and person-centered services</w:t>
      </w:r>
    </w:p>
    <w:p w:rsidR="009B552A" w:rsidRDefault="009C79F8" w:rsidP="009B552A">
      <w:pPr>
        <w:pStyle w:val="ListParagraph"/>
        <w:numPr>
          <w:ilvl w:val="0"/>
          <w:numId w:val="2"/>
        </w:numPr>
        <w:rPr>
          <w:b/>
        </w:rPr>
      </w:pPr>
      <w:r>
        <w:rPr>
          <w:b/>
        </w:rPr>
        <w:lastRenderedPageBreak/>
        <w:t>15</w:t>
      </w:r>
      <w:r w:rsidR="009B552A">
        <w:rPr>
          <w:b/>
        </w:rPr>
        <w:t xml:space="preserve"> possible points for applicants’ description of effectively performing the activities in the application</w:t>
      </w:r>
    </w:p>
    <w:p w:rsidR="009B552A" w:rsidRDefault="009C79F8" w:rsidP="009B552A">
      <w:pPr>
        <w:pStyle w:val="ListParagraph"/>
        <w:numPr>
          <w:ilvl w:val="1"/>
          <w:numId w:val="2"/>
        </w:numPr>
        <w:rPr>
          <w:b/>
        </w:rPr>
      </w:pPr>
      <w:r>
        <w:rPr>
          <w:b/>
        </w:rPr>
        <w:t>3</w:t>
      </w:r>
      <w:r w:rsidR="009B552A">
        <w:rPr>
          <w:b/>
        </w:rPr>
        <w:t xml:space="preserve"> points each for </w:t>
      </w:r>
      <w:r w:rsidR="00247E1C">
        <w:rPr>
          <w:b/>
        </w:rPr>
        <w:t xml:space="preserve">specifying </w:t>
      </w:r>
      <w:r w:rsidR="009B552A">
        <w:rPr>
          <w:b/>
        </w:rPr>
        <w:t xml:space="preserve">case management, </w:t>
      </w:r>
      <w:r w:rsidR="00247E1C">
        <w:rPr>
          <w:b/>
        </w:rPr>
        <w:t xml:space="preserve">or </w:t>
      </w:r>
      <w:r w:rsidR="009B552A">
        <w:rPr>
          <w:b/>
        </w:rPr>
        <w:t>supportive housing experience</w:t>
      </w:r>
    </w:p>
    <w:p w:rsidR="009B552A" w:rsidRDefault="009C79F8" w:rsidP="009B552A">
      <w:pPr>
        <w:pStyle w:val="ListParagraph"/>
        <w:numPr>
          <w:ilvl w:val="1"/>
          <w:numId w:val="2"/>
        </w:numPr>
        <w:rPr>
          <w:b/>
        </w:rPr>
      </w:pPr>
      <w:r>
        <w:rPr>
          <w:b/>
        </w:rPr>
        <w:t>9</w:t>
      </w:r>
      <w:r w:rsidR="009B552A">
        <w:rPr>
          <w:b/>
        </w:rPr>
        <w:t xml:space="preserve"> points for demonstrating applicants’ performance of activities led to positive outcomes for those served</w:t>
      </w:r>
    </w:p>
    <w:p w:rsidR="00503380" w:rsidRDefault="00503380" w:rsidP="00503380">
      <w:pPr>
        <w:pStyle w:val="ListParagraph"/>
        <w:numPr>
          <w:ilvl w:val="0"/>
          <w:numId w:val="2"/>
        </w:numPr>
        <w:rPr>
          <w:b/>
        </w:rPr>
      </w:pPr>
      <w:r>
        <w:rPr>
          <w:b/>
        </w:rPr>
        <w:t xml:space="preserve">10 possible points for applicants’ experience utilizing federal funds, leveraging funds, and financial management structure.  </w:t>
      </w:r>
    </w:p>
    <w:p w:rsidR="00503380" w:rsidRDefault="00503380" w:rsidP="00503380">
      <w:pPr>
        <w:pStyle w:val="ListParagraph"/>
        <w:numPr>
          <w:ilvl w:val="1"/>
          <w:numId w:val="2"/>
        </w:numPr>
        <w:rPr>
          <w:b/>
        </w:rPr>
      </w:pPr>
      <w:r>
        <w:rPr>
          <w:b/>
        </w:rPr>
        <w:t xml:space="preserve"> Second + year renewal applicants with balances in most recently completed operating year (prior to FY 2021 NOFO Announcement) greater than 25% will be penalized 8 points</w:t>
      </w:r>
    </w:p>
    <w:p w:rsidR="009B552A" w:rsidRPr="00503380" w:rsidRDefault="00503380" w:rsidP="00503380">
      <w:pPr>
        <w:pStyle w:val="ListParagraph"/>
        <w:numPr>
          <w:ilvl w:val="0"/>
          <w:numId w:val="2"/>
        </w:numPr>
        <w:rPr>
          <w:b/>
        </w:rPr>
      </w:pPr>
      <w:r>
        <w:rPr>
          <w:b/>
        </w:rPr>
        <w:t>15 possible points for funding request: reasonable costs requested for activities and number of households served, budget requests are consistent with proposed activities</w:t>
      </w:r>
    </w:p>
    <w:p w:rsidR="00CD1953" w:rsidRPr="00CD1953" w:rsidRDefault="00CD1953" w:rsidP="00CD1953">
      <w:pPr>
        <w:numPr>
          <w:ilvl w:val="0"/>
          <w:numId w:val="2"/>
        </w:numPr>
        <w:contextualSpacing/>
        <w:rPr>
          <w:b/>
          <w:u w:val="single"/>
        </w:rPr>
      </w:pPr>
      <w:r w:rsidRPr="00CD1953">
        <w:rPr>
          <w:b/>
          <w:u w:val="single"/>
        </w:rPr>
        <w:t xml:space="preserve">15 possible points awarded for applicants’ experience serving </w:t>
      </w:r>
      <w:r>
        <w:rPr>
          <w:b/>
          <w:u w:val="single"/>
        </w:rPr>
        <w:t>targeted subpopulations:</w:t>
      </w:r>
    </w:p>
    <w:p w:rsidR="00CD1953" w:rsidRPr="00CD1953" w:rsidRDefault="00CD1953" w:rsidP="00CD1953">
      <w:pPr>
        <w:numPr>
          <w:ilvl w:val="0"/>
          <w:numId w:val="3"/>
        </w:numPr>
        <w:contextualSpacing/>
        <w:rPr>
          <w:b/>
        </w:rPr>
      </w:pPr>
      <w:r>
        <w:rPr>
          <w:b/>
        </w:rPr>
        <w:t>5</w:t>
      </w:r>
      <w:r w:rsidRPr="00CD1953">
        <w:rPr>
          <w:b/>
        </w:rPr>
        <w:t xml:space="preserve"> points if the applicant describes that they or a </w:t>
      </w:r>
      <w:proofErr w:type="spellStart"/>
      <w:r w:rsidRPr="00CD1953">
        <w:rPr>
          <w:b/>
        </w:rPr>
        <w:t>subrecipient</w:t>
      </w:r>
      <w:proofErr w:type="spellEnd"/>
      <w:r w:rsidRPr="00CD1953">
        <w:rPr>
          <w:b/>
        </w:rPr>
        <w:t xml:space="preserve"> specialize in serving th</w:t>
      </w:r>
      <w:r>
        <w:rPr>
          <w:b/>
        </w:rPr>
        <w:t>e subpopulations selected</w:t>
      </w:r>
      <w:r w:rsidR="00A910C3">
        <w:rPr>
          <w:b/>
        </w:rPr>
        <w:t xml:space="preserve">, </w:t>
      </w:r>
    </w:p>
    <w:p w:rsidR="00CD1953" w:rsidRPr="00CD1953" w:rsidRDefault="00CD1953" w:rsidP="00CD1953">
      <w:pPr>
        <w:numPr>
          <w:ilvl w:val="1"/>
          <w:numId w:val="2"/>
        </w:numPr>
        <w:contextualSpacing/>
        <w:rPr>
          <w:b/>
        </w:rPr>
      </w:pPr>
      <w:r>
        <w:rPr>
          <w:b/>
        </w:rPr>
        <w:t>5 points for the applicant’s description of how they tailor services to meet the needs of selected subpopulations</w:t>
      </w:r>
    </w:p>
    <w:p w:rsidR="00CD1953" w:rsidRDefault="00CD1953" w:rsidP="00CD1953">
      <w:pPr>
        <w:numPr>
          <w:ilvl w:val="1"/>
          <w:numId w:val="2"/>
        </w:numPr>
        <w:contextualSpacing/>
        <w:rPr>
          <w:b/>
        </w:rPr>
      </w:pPr>
      <w:r w:rsidRPr="00CD1953">
        <w:rPr>
          <w:b/>
        </w:rPr>
        <w:t>2.5 possible points awarded for applicants’ explanation of their longevity (10+ years) in providing services to th</w:t>
      </w:r>
      <w:r>
        <w:rPr>
          <w:b/>
        </w:rPr>
        <w:t>e subpopulations selected</w:t>
      </w:r>
    </w:p>
    <w:p w:rsidR="00CD1953" w:rsidRPr="001A5189" w:rsidRDefault="00CD1953" w:rsidP="00CD1953">
      <w:pPr>
        <w:numPr>
          <w:ilvl w:val="1"/>
          <w:numId w:val="2"/>
        </w:numPr>
        <w:contextualSpacing/>
        <w:rPr>
          <w:b/>
        </w:rPr>
      </w:pPr>
      <w:r w:rsidRPr="00CD1953">
        <w:rPr>
          <w:b/>
        </w:rPr>
        <w:t xml:space="preserve">2.5 possible points awarded for applicants’ explanation of their agency’s demonstrated development in service offerings to </w:t>
      </w:r>
      <w:r w:rsidR="00247E1C">
        <w:rPr>
          <w:b/>
        </w:rPr>
        <w:t>the targeted subpopulations</w:t>
      </w:r>
      <w:r w:rsidRPr="00CD1953">
        <w:rPr>
          <w:b/>
          <w:color w:val="000000" w:themeColor="text1"/>
        </w:rPr>
        <w:t xml:space="preserve"> over time</w:t>
      </w:r>
    </w:p>
    <w:p w:rsidR="001A5189" w:rsidRDefault="001A5189" w:rsidP="001A5189">
      <w:pPr>
        <w:contextualSpacing/>
      </w:pPr>
    </w:p>
    <w:p w:rsidR="001A5189" w:rsidRPr="001A5189" w:rsidRDefault="001A5189" w:rsidP="001A5189">
      <w:pPr>
        <w:ind w:left="720"/>
        <w:rPr>
          <w:b/>
          <w:u w:val="single"/>
        </w:rPr>
      </w:pPr>
      <w:r w:rsidRPr="001A5189">
        <w:rPr>
          <w:b/>
          <w:u w:val="single"/>
        </w:rPr>
        <w:t>Acceptance/denial threshold</w:t>
      </w:r>
    </w:p>
    <w:p w:rsidR="001A5189" w:rsidRPr="001A5189" w:rsidRDefault="001A5189" w:rsidP="001A5189">
      <w:pPr>
        <w:numPr>
          <w:ilvl w:val="0"/>
          <w:numId w:val="6"/>
        </w:numPr>
        <w:contextualSpacing/>
        <w:rPr>
          <w:b/>
        </w:rPr>
      </w:pPr>
      <w:r w:rsidRPr="001A5189">
        <w:rPr>
          <w:b/>
        </w:rPr>
        <w:t>Applicants with unresolved monitoring or HUD findings will not be accepted</w:t>
      </w:r>
    </w:p>
    <w:p w:rsidR="001A5189" w:rsidRPr="001A5189" w:rsidRDefault="001A5189" w:rsidP="001A5189">
      <w:pPr>
        <w:numPr>
          <w:ilvl w:val="0"/>
          <w:numId w:val="6"/>
        </w:numPr>
        <w:contextualSpacing/>
        <w:rPr>
          <w:b/>
        </w:rPr>
      </w:pPr>
      <w:r w:rsidRPr="001A5189">
        <w:rPr>
          <w:b/>
        </w:rPr>
        <w:t>Applicants that will not follow a Housing First approach will not be accepted</w:t>
      </w:r>
    </w:p>
    <w:p w:rsidR="001A5189" w:rsidRPr="001A5189" w:rsidRDefault="001A5189" w:rsidP="001A5189">
      <w:pPr>
        <w:numPr>
          <w:ilvl w:val="0"/>
          <w:numId w:val="6"/>
        </w:numPr>
        <w:contextualSpacing/>
        <w:rPr>
          <w:b/>
        </w:rPr>
      </w:pPr>
      <w:r w:rsidRPr="001A5189">
        <w:rPr>
          <w:b/>
        </w:rPr>
        <w:t>Applicants that do not agree to local requirements and HUD standards in question responses will not be accepted</w:t>
      </w:r>
    </w:p>
    <w:p w:rsidR="001A5189" w:rsidRPr="001A5189" w:rsidRDefault="001A5189" w:rsidP="001A5189">
      <w:pPr>
        <w:numPr>
          <w:ilvl w:val="0"/>
          <w:numId w:val="6"/>
        </w:numPr>
        <w:contextualSpacing/>
        <w:rPr>
          <w:b/>
        </w:rPr>
      </w:pPr>
      <w:r w:rsidRPr="001A5189">
        <w:rPr>
          <w:b/>
        </w:rPr>
        <w:t>Applications providing responses that are not allowable according to the CoC Program Interim Rule or the FY 2021 CoC Program Competition NOFO will not be accepted</w:t>
      </w:r>
    </w:p>
    <w:p w:rsidR="001A5189" w:rsidRPr="001A5189" w:rsidRDefault="001A5189" w:rsidP="001A5189">
      <w:pPr>
        <w:numPr>
          <w:ilvl w:val="0"/>
          <w:numId w:val="6"/>
        </w:numPr>
        <w:contextualSpacing/>
        <w:rPr>
          <w:b/>
        </w:rPr>
      </w:pPr>
      <w:r w:rsidRPr="001A5189">
        <w:rPr>
          <w:b/>
        </w:rPr>
        <w:t>Applications with missing attachments or that do not answer required questions will not be accepted</w:t>
      </w:r>
    </w:p>
    <w:p w:rsidR="001A5189" w:rsidRDefault="001A5189" w:rsidP="001A5189">
      <w:pPr>
        <w:numPr>
          <w:ilvl w:val="0"/>
          <w:numId w:val="6"/>
        </w:numPr>
        <w:contextualSpacing/>
        <w:rPr>
          <w:b/>
        </w:rPr>
      </w:pPr>
      <w:r w:rsidRPr="001A5189">
        <w:rPr>
          <w:b/>
        </w:rPr>
        <w:t>Applicants delinquent on Federal debt will not be accepted</w:t>
      </w:r>
    </w:p>
    <w:p w:rsidR="001A5189" w:rsidRPr="001A5189" w:rsidRDefault="001A5189" w:rsidP="001A5189">
      <w:pPr>
        <w:numPr>
          <w:ilvl w:val="0"/>
          <w:numId w:val="6"/>
        </w:numPr>
        <w:contextualSpacing/>
        <w:rPr>
          <w:b/>
        </w:rPr>
      </w:pPr>
      <w:r w:rsidRPr="001A5189">
        <w:rPr>
          <w:b/>
        </w:rPr>
        <w:t>Applications with budget calculation errors or that do not meet match requirements will not be accepted</w:t>
      </w:r>
    </w:p>
    <w:sectPr w:rsidR="001A5189" w:rsidRPr="001A5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EC9"/>
    <w:multiLevelType w:val="hybridMultilevel"/>
    <w:tmpl w:val="E41ED0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E2B"/>
    <w:multiLevelType w:val="hybridMultilevel"/>
    <w:tmpl w:val="26CA82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15:restartNumberingAfterBreak="0">
    <w:nsid w:val="2BA87C4B"/>
    <w:multiLevelType w:val="hybridMultilevel"/>
    <w:tmpl w:val="E23E28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37D404B2"/>
    <w:multiLevelType w:val="hybridMultilevel"/>
    <w:tmpl w:val="2E3C3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83DCD"/>
    <w:multiLevelType w:val="hybridMultilevel"/>
    <w:tmpl w:val="37D8DE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9B2D68"/>
    <w:multiLevelType w:val="hybridMultilevel"/>
    <w:tmpl w:val="689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AA"/>
    <w:rsid w:val="0004531C"/>
    <w:rsid w:val="000B0388"/>
    <w:rsid w:val="00197200"/>
    <w:rsid w:val="001A5189"/>
    <w:rsid w:val="00247E1C"/>
    <w:rsid w:val="00251BE1"/>
    <w:rsid w:val="00262D2C"/>
    <w:rsid w:val="00503380"/>
    <w:rsid w:val="00795383"/>
    <w:rsid w:val="00881C5C"/>
    <w:rsid w:val="009432AA"/>
    <w:rsid w:val="009B552A"/>
    <w:rsid w:val="009C79F8"/>
    <w:rsid w:val="00A910C3"/>
    <w:rsid w:val="00CD1953"/>
    <w:rsid w:val="00EE3DF2"/>
    <w:rsid w:val="00FE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81669E"/>
  <w15:chartTrackingRefBased/>
  <w15:docId w15:val="{A7E0B6B8-68A1-4C6E-91EB-2B5A9A92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Shanahan, Claire</dc:creator>
  <cp:keywords/>
  <dc:description/>
  <cp:lastModifiedBy>Shanahan, Claire</cp:lastModifiedBy>
  <cp:revision>2</cp:revision>
  <dcterms:created xsi:type="dcterms:W3CDTF">2021-09-16T20:22:00Z</dcterms:created>
  <dcterms:modified xsi:type="dcterms:W3CDTF">2021-09-16T20:22:00Z</dcterms:modified>
</cp:coreProperties>
</file>